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bookmarkStart w:id="0" w:name="_GoBack"/>
            <w:bookmarkEnd w:id="0"/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407F9B08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5345AB8F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C315DF">
        <w:rPr>
          <w:b/>
          <w:sz w:val="22"/>
          <w:szCs w:val="22"/>
        </w:rPr>
        <w:t>КЛАДКИ СТЕН АПАРТАМЕНТОВ</w:t>
      </w:r>
      <w:r w:rsidRPr="009F6C7D">
        <w:rPr>
          <w:b/>
          <w:sz w:val="22"/>
          <w:szCs w:val="22"/>
        </w:rPr>
        <w:t xml:space="preserve"> </w:t>
      </w:r>
      <w:r w:rsidR="00C315DF">
        <w:rPr>
          <w:b/>
          <w:sz w:val="22"/>
          <w:szCs w:val="22"/>
        </w:rPr>
        <w:t xml:space="preserve">ВЫШЕ </w:t>
      </w:r>
      <w:r w:rsidRPr="009F6C7D">
        <w:rPr>
          <w:b/>
          <w:sz w:val="22"/>
          <w:szCs w:val="22"/>
        </w:rPr>
        <w:t>ОТМ. 0.000</w:t>
      </w:r>
      <w:r>
        <w:rPr>
          <w:b/>
          <w:sz w:val="22"/>
          <w:szCs w:val="22"/>
        </w:rPr>
        <w:t xml:space="preserve"> 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32D365D1" w:rsidR="00395655" w:rsidRPr="00206140" w:rsidRDefault="00CE621D" w:rsidP="00F0699D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C315DF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0239FAEA" w:rsidR="00060ABD" w:rsidRDefault="00060ABD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 w:rsidR="00AD6464">
              <w:rPr>
                <w:szCs w:val="20"/>
              </w:rPr>
              <w:t>АР</w:t>
            </w:r>
            <w:r w:rsidR="00C315DF">
              <w:rPr>
                <w:szCs w:val="20"/>
              </w:rPr>
              <w:t>1.1.1</w:t>
            </w:r>
            <w:r>
              <w:rPr>
                <w:szCs w:val="20"/>
              </w:rPr>
              <w:t xml:space="preserve">. </w:t>
            </w:r>
            <w:r w:rsidR="00C7089C">
              <w:rPr>
                <w:szCs w:val="20"/>
              </w:rPr>
              <w:t xml:space="preserve">Архитектурные решения. Кладочные планы. </w:t>
            </w:r>
            <w:r w:rsidR="00C315DF">
              <w:rPr>
                <w:szCs w:val="20"/>
              </w:rPr>
              <w:t>Корпус 1</w:t>
            </w:r>
            <w:r>
              <w:rPr>
                <w:szCs w:val="20"/>
              </w:rPr>
              <w:t>;</w:t>
            </w:r>
          </w:p>
          <w:p w14:paraId="569938DC" w14:textId="66072AD4" w:rsidR="00C315DF" w:rsidRDefault="00C315DF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АР2.1.1. Архитектурные решения. Кладочные планы. Корпус 2;</w:t>
            </w:r>
          </w:p>
          <w:p w14:paraId="3C02E9EC" w14:textId="6162C065" w:rsidR="00C315DF" w:rsidRDefault="00C315DF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АР3.1.1. Архитектурные решения. Кладочные планы. Корпус 3;</w:t>
            </w:r>
          </w:p>
          <w:p w14:paraId="247BCFF0" w14:textId="32755C61" w:rsidR="00C315DF" w:rsidRDefault="00C315DF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Данное технические задание;</w:t>
            </w:r>
          </w:p>
          <w:p w14:paraId="4C6A8A41" w14:textId="2F4E85EB" w:rsidR="003309C7" w:rsidRPr="00860042" w:rsidRDefault="003309C7" w:rsidP="004F20C6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04E086F6" w:rsidR="008C037A" w:rsidRPr="004F20C6" w:rsidRDefault="008C037A" w:rsidP="008C037A">
            <w:p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Подрядчику выполнить полный комплекс работ по </w:t>
            </w:r>
            <w:r w:rsidRPr="004F20C6">
              <w:t xml:space="preserve">кладке </w:t>
            </w:r>
            <w:r w:rsidR="00C315DF">
              <w:t>стен</w:t>
            </w:r>
            <w:r w:rsidRPr="004F20C6">
              <w:t xml:space="preserve"> </w:t>
            </w:r>
            <w:r w:rsidR="00C315DF">
              <w:t>надземной части апартаментов корпусов 1-3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1D908EA4" w14:textId="77777777" w:rsidR="008C037A" w:rsidRPr="004F20C6" w:rsidRDefault="008C037A" w:rsidP="008C037A">
            <w:pPr>
              <w:pStyle w:val="a3"/>
              <w:numPr>
                <w:ilvl w:val="1"/>
                <w:numId w:val="3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</w:p>
          <w:p w14:paraId="4DBCDB1B" w14:textId="77777777" w:rsidR="008C037A" w:rsidRPr="004F20C6" w:rsidRDefault="008C037A" w:rsidP="008C037A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</w:p>
          <w:p w14:paraId="612E771E" w14:textId="32214C7E" w:rsidR="008C037A" w:rsidRPr="004F20C6" w:rsidRDefault="008C037A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F20C6">
              <w:rPr>
                <w:szCs w:val="20"/>
              </w:rPr>
              <w:t xml:space="preserve">Работы по устройству кладки из </w:t>
            </w:r>
            <w:proofErr w:type="spellStart"/>
            <w:r w:rsidR="00C315DF">
              <w:rPr>
                <w:szCs w:val="20"/>
              </w:rPr>
              <w:t>п</w:t>
            </w:r>
            <w:r w:rsidR="008429D5">
              <w:rPr>
                <w:szCs w:val="20"/>
              </w:rPr>
              <w:t>а</w:t>
            </w:r>
            <w:r w:rsidR="00C315DF">
              <w:rPr>
                <w:szCs w:val="20"/>
              </w:rPr>
              <w:t>зогребневого</w:t>
            </w:r>
            <w:proofErr w:type="spellEnd"/>
            <w:r w:rsidR="00C315DF">
              <w:rPr>
                <w:szCs w:val="20"/>
              </w:rPr>
              <w:t xml:space="preserve"> блока</w:t>
            </w:r>
            <w:r w:rsidRPr="004F20C6">
              <w:rPr>
                <w:szCs w:val="20"/>
              </w:rPr>
              <w:t xml:space="preserve">; </w:t>
            </w:r>
          </w:p>
          <w:p w14:paraId="60DF8988" w14:textId="12D9CFDB" w:rsidR="008C037A" w:rsidRPr="00F0699D" w:rsidRDefault="008C037A" w:rsidP="00F0699D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99D">
              <w:rPr>
                <w:szCs w:val="20"/>
              </w:rPr>
              <w:t xml:space="preserve">Работы по устройству примыканий к вертикальным и горизонтальным конструкциям. </w:t>
            </w:r>
          </w:p>
          <w:p w14:paraId="7AAC1778" w14:textId="762C8433" w:rsidR="008C037A" w:rsidRPr="004F20C6" w:rsidRDefault="008C037A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F20C6">
              <w:rPr>
                <w:szCs w:val="20"/>
              </w:rPr>
              <w:t>Работы по устройству перемычек.</w:t>
            </w:r>
          </w:p>
          <w:p w14:paraId="16547B72" w14:textId="77777777" w:rsidR="008C037A" w:rsidRPr="004F20C6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21093B0" w14:textId="77777777" w:rsidR="008C037A" w:rsidRPr="004F20C6" w:rsidRDefault="008C037A" w:rsidP="008C037A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Дополнительные сведения</w:t>
            </w:r>
          </w:p>
          <w:p w14:paraId="10FEA786" w14:textId="77777777" w:rsidR="008C037A" w:rsidRPr="004F20C6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146D7854" w14:textId="2F6BB6B9" w:rsidR="008C037A" w:rsidRPr="004F20C6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F20C6">
              <w:rPr>
                <w:lang w:eastAsia="en-US"/>
              </w:rPr>
              <w:lastRenderedPageBreak/>
              <w:t xml:space="preserve">В качестве исходных данных для заключения Договора служит Рабочая документация. Возможны уточнения и изменения Рабочей документации, в таком случае стороны согласовали, что любые изменения планировочных решений конструктивных решений здания, учтенные в Рабочей документации, выданной «В производство работ» не будут являться основанием для изменения единичных расценок, стоимости и сроков работ. </w:t>
            </w:r>
          </w:p>
          <w:p w14:paraId="73A3168A" w14:textId="24947005" w:rsidR="00B86E13" w:rsidRDefault="008C037A" w:rsidP="00B86E13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F20C6">
              <w:rPr>
                <w:lang w:eastAsia="en-US"/>
              </w:rPr>
              <w:t xml:space="preserve">Кладка стен </w:t>
            </w:r>
            <w:r w:rsidR="00BE32E6" w:rsidRPr="004F20C6">
              <w:rPr>
                <w:lang w:eastAsia="en-US"/>
              </w:rPr>
              <w:t xml:space="preserve">выполняется </w:t>
            </w:r>
            <w:r w:rsidRPr="004F20C6">
              <w:rPr>
                <w:lang w:eastAsia="en-US"/>
              </w:rPr>
              <w:t>и</w:t>
            </w:r>
            <w:r w:rsidR="00BE32E6" w:rsidRPr="004F20C6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proofErr w:type="spellStart"/>
            <w:r w:rsidR="00C315DF">
              <w:rPr>
                <w:lang w:eastAsia="en-US"/>
              </w:rPr>
              <w:t>п</w:t>
            </w:r>
            <w:r w:rsidR="008429D5">
              <w:rPr>
                <w:lang w:eastAsia="en-US"/>
              </w:rPr>
              <w:t>а</w:t>
            </w:r>
            <w:r w:rsidR="00C315DF">
              <w:rPr>
                <w:lang w:eastAsia="en-US"/>
              </w:rPr>
              <w:t>зогребня</w:t>
            </w:r>
            <w:proofErr w:type="spellEnd"/>
            <w:r w:rsidR="00C315DF">
              <w:rPr>
                <w:lang w:eastAsia="en-US"/>
              </w:rPr>
              <w:t xml:space="preserve"> 667*500*80 мм</w:t>
            </w:r>
            <w:r w:rsidR="00BE32E6">
              <w:rPr>
                <w:lang w:eastAsia="en-US"/>
              </w:rPr>
              <w:t xml:space="preserve"> (в соответствии с РД)</w:t>
            </w:r>
            <w:r w:rsidR="006B5970">
              <w:rPr>
                <w:lang w:eastAsia="en-US"/>
              </w:rPr>
              <w:t xml:space="preserve"> на </w:t>
            </w:r>
            <w:r w:rsidR="00C315DF">
              <w:rPr>
                <w:lang w:eastAsia="en-US"/>
              </w:rPr>
              <w:t>гипсовом клеевом растворе на выравнивающее основание</w:t>
            </w:r>
            <w:r w:rsidRPr="00200BAD">
              <w:rPr>
                <w:lang w:eastAsia="en-US"/>
              </w:rPr>
              <w:t>.</w:t>
            </w:r>
            <w:r w:rsidR="00BE32E6">
              <w:rPr>
                <w:lang w:eastAsia="en-US"/>
              </w:rPr>
              <w:t xml:space="preserve"> Перемычки и примыкания кладки к вертикальным и горизонтальным конструкциям выполнить согласно Рабочей документации</w:t>
            </w:r>
            <w:r w:rsidR="00B86E13">
              <w:rPr>
                <w:lang w:eastAsia="en-US"/>
              </w:rPr>
              <w:t>. Проемы шириной до 800 мм выполнять согласно альбому КНАУФ шифр М8.10/2007 в. 2 (рис. 3).</w:t>
            </w:r>
          </w:p>
          <w:p w14:paraId="6BD1595F" w14:textId="32CAA099" w:rsidR="008C037A" w:rsidRDefault="008C037A" w:rsidP="004F20C6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200BAD">
              <w:rPr>
                <w:lang w:eastAsia="en-US"/>
              </w:rPr>
              <w:t>Предельные отклонения конструкций от проектных величин должны удовлетворять требованиям СП 70.13330.2012 "Несущие и ограждающие конструкции".</w:t>
            </w:r>
          </w:p>
          <w:p w14:paraId="595E76D0" w14:textId="77777777" w:rsidR="008C037A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02264">
              <w:rPr>
                <w:lang w:eastAsia="en-US"/>
              </w:rPr>
              <w:t>В составе работ</w:t>
            </w:r>
            <w:r>
              <w:rPr>
                <w:lang w:eastAsia="en-US"/>
              </w:rPr>
              <w:t xml:space="preserve"> (п.1.1)</w:t>
            </w:r>
            <w:r w:rsidRPr="00402264">
              <w:rPr>
                <w:lang w:eastAsia="en-US"/>
              </w:rPr>
              <w:t xml:space="preserve">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1800F995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787391CE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04AD9363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t>Дополнительные требования к выполнению работ</w:t>
            </w:r>
          </w:p>
          <w:p w14:paraId="11FBE0B5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6E84BE3" w14:textId="0AC5AB6C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</w:t>
            </w:r>
            <w:r w:rsidR="003627A7">
              <w:rPr>
                <w:szCs w:val="20"/>
              </w:rPr>
              <w:t>ная сертификатами и паспортами;</w:t>
            </w:r>
          </w:p>
          <w:p w14:paraId="18B3E58F" w14:textId="64A67280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>, увязанные с основ</w:t>
            </w:r>
            <w:r w:rsidR="003627A7">
              <w:rPr>
                <w:szCs w:val="20"/>
              </w:rPr>
              <w:t>ными этапами строительных работ;</w:t>
            </w:r>
          </w:p>
          <w:p w14:paraId="487A6B3A" w14:textId="77777777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Pr="00813146">
              <w:rPr>
                <w:szCs w:val="20"/>
              </w:rPr>
              <w:t>организации, привлечение дополнительных подрядных/субподрядных организаций без согласования Генерального подрядчика не допускается;</w:t>
            </w:r>
          </w:p>
          <w:p w14:paraId="4217A744" w14:textId="77777777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Работы выполняются согласно СНиП, СП и 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2078B2D9" w14:textId="322C4546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 w:rsidR="003627A7">
              <w:rPr>
                <w:szCs w:val="20"/>
              </w:rPr>
              <w:t>ение необходимых журналов работ;</w:t>
            </w:r>
          </w:p>
          <w:p w14:paraId="676A5D2D" w14:textId="723F2B51" w:rsidR="003627A7" w:rsidRDefault="003627A7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Своевременное ведение исполнительной документации.</w:t>
            </w:r>
          </w:p>
          <w:p w14:paraId="5171EBD3" w14:textId="77777777" w:rsidR="008C037A" w:rsidRPr="00A12EAD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A70D1F3" w14:textId="77777777" w:rsidR="008C037A" w:rsidRPr="00A12EAD" w:rsidRDefault="008C037A" w:rsidP="008C037A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t>Пребывание в нерабочее время и проживание работников подрядной организации на территории объекта запрещено</w:t>
            </w:r>
          </w:p>
          <w:p w14:paraId="31098255" w14:textId="5EE162EC" w:rsidR="008C037A" w:rsidRPr="00206140" w:rsidRDefault="008C037A" w:rsidP="004F20C6">
            <w:pPr>
              <w:pStyle w:val="a3"/>
              <w:spacing w:line="276" w:lineRule="auto"/>
              <w:ind w:left="0" w:firstLine="283"/>
              <w:jc w:val="both"/>
              <w:rPr>
                <w:lang w:eastAsia="en-US"/>
              </w:rPr>
            </w:pPr>
          </w:p>
        </w:tc>
      </w:tr>
      <w:tr w:rsidR="008C037A" w:rsidRPr="00206140" w14:paraId="2D30BE8B" w14:textId="77777777" w:rsidTr="0056540A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CA0" w14:textId="77777777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30DE018D" w14:textId="77777777" w:rsidR="008C037A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8C037A" w:rsidRPr="00C71551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A4" w14:textId="4DD1446C" w:rsidR="008C037A" w:rsidRDefault="008C037A" w:rsidP="008C037A">
            <w:pPr>
              <w:pStyle w:val="a3"/>
              <w:spacing w:after="240" w:line="276" w:lineRule="auto"/>
              <w:ind w:left="420"/>
              <w:jc w:val="both"/>
              <w:rPr>
                <w:lang w:eastAsia="en-US"/>
              </w:rPr>
            </w:pPr>
          </w:p>
          <w:p w14:paraId="7883EE7F" w14:textId="786173C5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</w:t>
            </w:r>
            <w:r w:rsidRPr="008D49E6">
              <w:rPr>
                <w:lang w:eastAsia="en-US"/>
              </w:rPr>
              <w:lastRenderedPageBreak/>
              <w:t xml:space="preserve">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0AF9D438" w:rsidR="008C037A" w:rsidRPr="008D49E6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работ, а также</w:t>
            </w:r>
            <w:r>
              <w:rPr>
                <w:lang w:eastAsia="en-US"/>
              </w:rPr>
              <w:t>.</w:t>
            </w:r>
          </w:p>
          <w:p w14:paraId="381C0724" w14:textId="6304ACFD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2D4F23D7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учесть работы и технологическую последовательность по устройству </w:t>
            </w:r>
            <w:r w:rsidR="00370695">
              <w:rPr>
                <w:lang w:eastAsia="en-US"/>
              </w:rPr>
              <w:t xml:space="preserve">кладки внутренних </w:t>
            </w:r>
            <w:r w:rsidR="00AF5C08">
              <w:rPr>
                <w:lang w:eastAsia="en-US"/>
              </w:rPr>
              <w:t>перегородок</w:t>
            </w:r>
            <w:r>
              <w:rPr>
                <w:lang w:eastAsia="en-US"/>
              </w:rPr>
              <w:t>;</w:t>
            </w:r>
          </w:p>
          <w:p w14:paraId="517E7F74" w14:textId="11D713CE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мероприятия по защите от атмосферных осадков, в том числе и складируемые материалы;</w:t>
            </w:r>
          </w:p>
          <w:p w14:paraId="1DB293BC" w14:textId="29225C5F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указания по производству работ в зимний период времени;</w:t>
            </w:r>
          </w:p>
          <w:p w14:paraId="66DA6232" w14:textId="42D4652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график поставки материалов;</w:t>
            </w:r>
          </w:p>
          <w:p w14:paraId="62F5FC44" w14:textId="4A0F3848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схема затаривания материалами;</w:t>
            </w:r>
          </w:p>
          <w:p w14:paraId="11DBB052" w14:textId="223D152B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устройство площадок складирования материалов;</w:t>
            </w:r>
          </w:p>
          <w:p w14:paraId="3407F7AE" w14:textId="5F71837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расчет потребности машин и механизмов (с учетом резерва), - график и схемы движения;</w:t>
            </w:r>
          </w:p>
          <w:p w14:paraId="4186B8A5" w14:textId="2ED89F8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мероприятия по обеспечению резервного электроснабжения в зимний период времени. </w:t>
            </w:r>
          </w:p>
          <w:p w14:paraId="4F9AFA6B" w14:textId="35E9490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</w:t>
            </w:r>
            <w:r>
              <w:rPr>
                <w:lang w:eastAsia="en-US"/>
              </w:rPr>
              <w:t>инженерных сетей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38237E7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>
              <w:rPr>
                <w:lang w:eastAsia="en-US"/>
              </w:rPr>
              <w:t xml:space="preserve"> </w:t>
            </w:r>
          </w:p>
          <w:p w14:paraId="726B1977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выполнить геодезическую разбивку на монтажном горизонте планово-высотного положения;</w:t>
            </w:r>
            <w:r>
              <w:rPr>
                <w:lang w:eastAsia="en-US"/>
              </w:rPr>
              <w:t xml:space="preserve"> </w:t>
            </w:r>
          </w:p>
          <w:p w14:paraId="7F17F06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>
              <w:rPr>
                <w:lang w:eastAsia="en-US"/>
              </w:rPr>
              <w:t xml:space="preserve"> </w:t>
            </w:r>
          </w:p>
          <w:p w14:paraId="4DFD035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lastRenderedPageBreak/>
              <w:t>При производстве работ использовать материалы, соответствующие проектной документации и имеющие сертификаты, технические паспорта и другие документы, удостоверяющие их качество, в том числе безопасность для жизни и здоровья людей;</w:t>
            </w:r>
            <w:r>
              <w:rPr>
                <w:lang w:eastAsia="en-US"/>
              </w:rPr>
              <w:t xml:space="preserve"> </w:t>
            </w:r>
          </w:p>
          <w:p w14:paraId="131BB790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>
              <w:rPr>
                <w:lang w:eastAsia="en-US"/>
              </w:rPr>
              <w:t xml:space="preserve"> </w:t>
            </w:r>
          </w:p>
          <w:p w14:paraId="73B05E94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>
              <w:rPr>
                <w:lang w:eastAsia="en-US"/>
              </w:rPr>
              <w:t xml:space="preserve"> </w:t>
            </w:r>
          </w:p>
          <w:p w14:paraId="66B0FA28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>
              <w:rPr>
                <w:lang w:eastAsia="en-US"/>
              </w:rPr>
              <w:t xml:space="preserve"> </w:t>
            </w:r>
          </w:p>
          <w:p w14:paraId="7FBDA50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>
              <w:rPr>
                <w:lang w:eastAsia="en-US"/>
              </w:rPr>
              <w:t xml:space="preserve"> </w:t>
            </w:r>
          </w:p>
          <w:p w14:paraId="5D7CA54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>
              <w:rPr>
                <w:lang w:eastAsia="en-US"/>
              </w:rPr>
              <w:t xml:space="preserve"> </w:t>
            </w:r>
          </w:p>
          <w:p w14:paraId="764010E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После окончания работ необходимо предоставить справки об утилизации строительных отходов. Все работы выполнять в соответствии с действующей НТД;</w:t>
            </w:r>
            <w:r>
              <w:rPr>
                <w:lang w:eastAsia="en-US"/>
              </w:rPr>
              <w:t xml:space="preserve"> </w:t>
            </w:r>
          </w:p>
          <w:p w14:paraId="3687F7F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>
              <w:rPr>
                <w:lang w:eastAsia="en-US"/>
              </w:rPr>
              <w:t xml:space="preserve"> </w:t>
            </w:r>
          </w:p>
          <w:p w14:paraId="644B0E9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1EB7B18E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70.13330.2012 «Несущие и ограждающие конструкции»;</w:t>
            </w:r>
          </w:p>
          <w:p w14:paraId="41687B0D" w14:textId="4481DFC6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Предписания и требования контролирующих организаций (ОАТИ, </w:t>
            </w:r>
            <w:proofErr w:type="spellStart"/>
            <w:r>
              <w:rPr>
                <w:lang w:eastAsia="en-US"/>
              </w:rPr>
              <w:t>Мосгосстройнадзора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Ростехнадзора</w:t>
            </w:r>
            <w:proofErr w:type="spellEnd"/>
            <w:r>
              <w:rPr>
                <w:lang w:eastAsia="en-US"/>
              </w:rPr>
              <w:t xml:space="preserve"> и других).</w:t>
            </w:r>
          </w:p>
          <w:p w14:paraId="7889DB01" w14:textId="686C791E" w:rsidR="008C037A" w:rsidRPr="008D49E6" w:rsidRDefault="008C037A" w:rsidP="004F20C6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B71C8">
              <w:rPr>
                <w:lang w:eastAsia="en-US"/>
              </w:rPr>
              <w:t xml:space="preserve">Подрядчик уведомлен, что на объекте строительства, в т.ч. в зоне работ Подрядчика, будут выполняться строительно-монтажные работы смежными подрядными организациями, в т.ч. но не ограничиваясь: отделочные работы, наружные инженерные сети, внутренние инженерные системы. Затраты на обеспечение совмещенного производства работ учтены в Цене Договора, единичных расценках и отдельно оплате не подлежат. Временные затраты на совмещенное производство работ учтены как в общем Сроке выполнения работ, так и в промежуточных сроках и такого рода работы, проводимые Генеральным подрядчиком в любом объеме и в любые временные </w:t>
            </w:r>
            <w:r w:rsidRPr="008B71C8">
              <w:rPr>
                <w:lang w:eastAsia="en-US"/>
              </w:rPr>
              <w:lastRenderedPageBreak/>
              <w:t>рамки, не будут являться основанием для увеличения сроков СМР, дополнительных затрат.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4DF407A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ПОС;</w:t>
            </w:r>
          </w:p>
          <w:p w14:paraId="52F44FF6" w14:textId="5B4DB920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AF5C08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1F523D44" w14:textId="5434A087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787FD92B" w14:textId="3C9E6FAB" w:rsidR="008C037A" w:rsidRPr="00EA2F59" w:rsidRDefault="008C037A" w:rsidP="008C037A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 xml:space="preserve">2.1 </w:t>
            </w:r>
            <w:r w:rsidRPr="00EA2F59">
              <w:rPr>
                <w:snapToGrid/>
                <w:sz w:val="24"/>
                <w:szCs w:val="24"/>
                <w:lang w:eastAsia="en-US"/>
              </w:rPr>
              <w:t xml:space="preserve">Подрядчик обязан иметь на объекте и предоставлять по требованию </w:t>
            </w:r>
            <w:r>
              <w:rPr>
                <w:snapToGrid/>
                <w:sz w:val="24"/>
                <w:szCs w:val="24"/>
                <w:lang w:eastAsia="en-US"/>
              </w:rPr>
              <w:t xml:space="preserve">Генподрядчика </w:t>
            </w:r>
            <w:r w:rsidRPr="00EA2F59">
              <w:rPr>
                <w:snapToGrid/>
                <w:sz w:val="24"/>
                <w:szCs w:val="24"/>
                <w:lang w:eastAsia="en-US"/>
              </w:rPr>
              <w:t>следующие документы:</w:t>
            </w:r>
          </w:p>
          <w:p w14:paraId="5BBB4207" w14:textId="12094E2B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 xml:space="preserve">согласованный </w:t>
            </w:r>
            <w:r>
              <w:rPr>
                <w:lang w:eastAsia="en-US"/>
              </w:rPr>
              <w:t>в установленном порядке</w:t>
            </w:r>
            <w:r w:rsidRPr="00436717">
              <w:rPr>
                <w:lang w:eastAsia="en-US"/>
              </w:rPr>
              <w:t xml:space="preserve"> ППР</w:t>
            </w:r>
            <w:r>
              <w:rPr>
                <w:lang w:eastAsia="en-US"/>
              </w:rPr>
              <w:t xml:space="preserve"> (Предоставляет Генподрядчик)</w:t>
            </w:r>
            <w:r w:rsidRPr="00436717">
              <w:rPr>
                <w:lang w:eastAsia="en-US"/>
              </w:rPr>
              <w:t>;</w:t>
            </w:r>
          </w:p>
          <w:p w14:paraId="03FE566A" w14:textId="56ED883C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>Приказ о назначении лиц ответственных за безопасное производство работ, ответственных за</w:t>
            </w:r>
            <w:r w:rsidRPr="001C5B6C">
              <w:rPr>
                <w:lang w:eastAsia="en-US"/>
              </w:rPr>
              <w:t xml:space="preserve"> осмотр </w:t>
            </w:r>
            <w:r>
              <w:rPr>
                <w:lang w:eastAsia="en-US"/>
              </w:rPr>
              <w:t xml:space="preserve">съемных </w:t>
            </w:r>
            <w:r w:rsidRPr="001C5B6C">
              <w:rPr>
                <w:lang w:eastAsia="en-US"/>
              </w:rPr>
              <w:t>грузозахватных приспособлений (</w:t>
            </w:r>
            <w:r>
              <w:rPr>
                <w:lang w:eastAsia="en-US"/>
              </w:rPr>
              <w:t>далее по тексту «</w:t>
            </w:r>
            <w:r w:rsidRPr="001C5B6C">
              <w:rPr>
                <w:lang w:eastAsia="en-US"/>
              </w:rPr>
              <w:t>СГЗП</w:t>
            </w:r>
            <w:r>
              <w:rPr>
                <w:lang w:eastAsia="en-US"/>
              </w:rPr>
              <w:t>»</w:t>
            </w:r>
            <w:r w:rsidRPr="001C5B6C">
              <w:rPr>
                <w:lang w:eastAsia="en-US"/>
              </w:rPr>
              <w:t>) и тары, стропальщиков на стройплощадке;</w:t>
            </w:r>
          </w:p>
          <w:p w14:paraId="4F45D2A2" w14:textId="252EC8FB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>копии протоколов аттестации ИТР и оригиналы удостоверений;</w:t>
            </w:r>
          </w:p>
          <w:p w14:paraId="3D7D9BDF" w14:textId="7B496C8F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 xml:space="preserve">должностную инструкцию </w:t>
            </w:r>
            <w:r>
              <w:rPr>
                <w:lang w:eastAsia="en-US"/>
              </w:rPr>
              <w:t xml:space="preserve">специалиста </w:t>
            </w:r>
            <w:r w:rsidRPr="001C5B6C">
              <w:rPr>
                <w:lang w:eastAsia="en-US"/>
              </w:rPr>
              <w:t>ответственного за безопасное производство работ;</w:t>
            </w:r>
          </w:p>
          <w:p w14:paraId="4127534A" w14:textId="4EAA9321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разрешение на строительство</w:t>
            </w:r>
            <w:r w:rsidRPr="001C5B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(Предоставляет Генподрядчик</w:t>
            </w:r>
            <w:proofErr w:type="gramStart"/>
            <w:r>
              <w:rPr>
                <w:lang w:eastAsia="en-US"/>
              </w:rPr>
              <w:t>)</w:t>
            </w:r>
            <w:r w:rsidRPr="00436717">
              <w:rPr>
                <w:lang w:eastAsia="en-US"/>
              </w:rPr>
              <w:t>;</w:t>
            </w:r>
            <w:r w:rsidRPr="001C5B6C">
              <w:rPr>
                <w:lang w:eastAsia="en-US"/>
              </w:rPr>
              <w:t>.</w:t>
            </w:r>
            <w:proofErr w:type="gramEnd"/>
          </w:p>
          <w:p w14:paraId="0B787F08" w14:textId="3474E45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03687B5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5A5109CE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 Необходимое для производства работ количество техники, механизмов, инструментов и оснастки; </w:t>
            </w:r>
          </w:p>
          <w:p w14:paraId="0F21A1D6" w14:textId="71F20311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 Процесс производства работ технической водой, организацию освещения рабочих мест; </w:t>
            </w:r>
          </w:p>
          <w:p w14:paraId="1CF86A5E" w14:textId="53E1D61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42D1D4C1" w14:textId="1DD5CBCE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000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2DF8614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000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материалов, а также их подачу с площадок складирования к строительным мачтовым подъемникам; </w:t>
            </w:r>
          </w:p>
          <w:p w14:paraId="7C6F0A79" w14:textId="2CB8803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000B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3D1A8F6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</w:t>
            </w:r>
            <w:r w:rsidR="00070B08">
              <w:rPr>
                <w:lang w:eastAsia="en-US"/>
              </w:rPr>
              <w:t>,</w:t>
            </w:r>
            <w:r w:rsidR="0038000B">
              <w:rPr>
                <w:lang w:eastAsia="en-US"/>
              </w:rPr>
              <w:t xml:space="preserve"> </w:t>
            </w:r>
            <w:r w:rsidR="00DD5DCC">
              <w:rPr>
                <w:lang w:eastAsia="en-US"/>
              </w:rPr>
              <w:lastRenderedPageBreak/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38000B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>в контейнеры Субподрядчика</w:t>
            </w:r>
            <w:r w:rsidR="0038000B">
              <w:rPr>
                <w:lang w:eastAsia="en-US"/>
              </w:rPr>
              <w:t>;</w:t>
            </w:r>
          </w:p>
          <w:p w14:paraId="775596BC" w14:textId="3EFC0D5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1BC94368" w14:textId="6699129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 уборке и вывозу Генподрядчику. </w:t>
            </w:r>
          </w:p>
          <w:p w14:paraId="65CC7C74" w14:textId="196BA724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Уборку снега, воды, льда в границах участка производства работ, с вывозом и утилизацией; </w:t>
            </w:r>
          </w:p>
          <w:p w14:paraId="03F02CBD" w14:textId="51F7D9F5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Откачку грунтовых вод, образовавшихся в приямках и технологических отверстиях в процессе производства работ;</w:t>
            </w:r>
          </w:p>
          <w:p w14:paraId="61D650CA" w14:textId="2C716997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15EC9AA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 </w:t>
            </w:r>
          </w:p>
          <w:p w14:paraId="42C58FDF" w14:textId="30F6AA01" w:rsidR="008C037A" w:rsidRPr="00281C4D" w:rsidRDefault="008C037A" w:rsidP="00F0699D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8C037A" w:rsidRPr="00C71551" w:rsidRDefault="008C037A" w:rsidP="008C037A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95E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F6C2AB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2856FE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0E68EF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CEA772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67E726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89CFBE9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B33C67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19540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680FB2D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61DE155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0273384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D1725F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8C037A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66FE15A6" w14:textId="4DF09343" w:rsidR="008C037A" w:rsidRDefault="008C037A" w:rsidP="00F0699D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proofErr w:type="spellStart"/>
            <w:r w:rsidR="0038000B">
              <w:t>П</w:t>
            </w:r>
            <w:r w:rsidR="008429D5">
              <w:t>а</w:t>
            </w:r>
            <w:r w:rsidR="0038000B">
              <w:t>зогребневые</w:t>
            </w:r>
            <w:proofErr w:type="spellEnd"/>
            <w:r w:rsidR="0038000B">
              <w:t xml:space="preserve"> плиты</w:t>
            </w:r>
          </w:p>
          <w:p w14:paraId="36D5E892" w14:textId="2E2D6EBA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DD7D00">
              <w:t xml:space="preserve">Клей для </w:t>
            </w:r>
            <w:r w:rsidR="0038000B">
              <w:t>плит</w:t>
            </w:r>
          </w:p>
          <w:p w14:paraId="73A5B386" w14:textId="6D9A2D7B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DD7D00">
              <w:t>Сухая цементно-песчаная смесь</w:t>
            </w:r>
          </w:p>
          <w:p w14:paraId="4ECFB454" w14:textId="2B58D368" w:rsidR="00B86E13" w:rsidRDefault="00B86E13" w:rsidP="008C037A">
            <w:pPr>
              <w:pStyle w:val="a3"/>
              <w:spacing w:line="276" w:lineRule="auto"/>
              <w:ind w:left="777"/>
              <w:jc w:val="both"/>
            </w:pPr>
            <w:r>
              <w:t>- Доска</w:t>
            </w:r>
          </w:p>
          <w:p w14:paraId="208C4C5B" w14:textId="6EEB8875" w:rsidR="00DD7D00" w:rsidRDefault="008C037A" w:rsidP="00F0699D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091509">
              <w:t>Уголок металлический</w:t>
            </w:r>
            <w:r w:rsidR="00DD7D00">
              <w:t xml:space="preserve"> 75х75х</w:t>
            </w:r>
            <w:r w:rsidR="0038000B">
              <w:t>5</w:t>
            </w:r>
          </w:p>
          <w:p w14:paraId="5CDEDD60" w14:textId="177935DA" w:rsidR="00DC27FA" w:rsidRDefault="00DC27FA" w:rsidP="00F0699D">
            <w:pPr>
              <w:pStyle w:val="a3"/>
              <w:spacing w:line="276" w:lineRule="auto"/>
              <w:ind w:left="777"/>
              <w:jc w:val="both"/>
            </w:pPr>
            <w:r>
              <w:t>- Арматура ф12 мм А500С</w:t>
            </w:r>
          </w:p>
          <w:p w14:paraId="4EDF2036" w14:textId="702B17FC" w:rsidR="006A63DA" w:rsidRDefault="006A63DA" w:rsidP="004F20C6">
            <w:pPr>
              <w:pStyle w:val="a3"/>
              <w:spacing w:line="276" w:lineRule="auto"/>
              <w:ind w:left="777"/>
              <w:jc w:val="both"/>
            </w:pPr>
            <w:r>
              <w:t>- Крепежные элементы</w:t>
            </w:r>
          </w:p>
          <w:p w14:paraId="14BC4058" w14:textId="575B4EA3" w:rsidR="006A63DA" w:rsidRPr="004F20C6" w:rsidRDefault="006A63DA" w:rsidP="004F20C6">
            <w:pPr>
              <w:pStyle w:val="a3"/>
              <w:spacing w:line="276" w:lineRule="auto"/>
              <w:ind w:left="777"/>
              <w:jc w:val="both"/>
            </w:pPr>
            <w:r>
              <w:t>- Грунтовка ГФ-021</w:t>
            </w:r>
          </w:p>
          <w:p w14:paraId="08966AD7" w14:textId="26B1B6E5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0A7A316C" w14:textId="77777777" w:rsidR="008C037A" w:rsidRPr="00206140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</w:p>
          <w:p w14:paraId="7247A115" w14:textId="3D6375EE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1B512C67" w14:textId="77777777" w:rsidR="008C037A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43D2F9F6" w14:textId="5946CAFC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7AA6A5BC" w14:textId="1E738421" w:rsidR="008C037A" w:rsidRPr="00206140" w:rsidRDefault="008C037A" w:rsidP="004F20C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3DE7AFF0" w:rsidR="008C037A" w:rsidRPr="00C71551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СП 70.13330.2012 «Несущие и ограждающие конструкции», а также иными нормативными документами, Приложением № 5 к договору, требованиями данного технического задания; </w:t>
            </w:r>
          </w:p>
          <w:p w14:paraId="2AEFC268" w14:textId="14BB7A25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 документов, подтверждающий качество продукции и выполненных работ:</w:t>
            </w:r>
          </w:p>
          <w:p w14:paraId="79D718D4" w14:textId="64E4AAFD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Паспорта или документы качества на</w:t>
            </w:r>
            <w:r w:rsidRPr="007928FB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материалы, входящие с состав комплекса работ, </w:t>
            </w:r>
            <w:r w:rsidR="006A63DA">
              <w:rPr>
                <w:color w:val="000000" w:themeColor="text1"/>
                <w:szCs w:val="20"/>
              </w:rPr>
              <w:t xml:space="preserve">на </w:t>
            </w:r>
            <w:r>
              <w:rPr>
                <w:color w:val="000000" w:themeColor="text1"/>
                <w:szCs w:val="20"/>
              </w:rPr>
              <w:t xml:space="preserve">каждую партию </w:t>
            </w:r>
            <w:r w:rsidR="0038000B">
              <w:rPr>
                <w:color w:val="000000" w:themeColor="text1"/>
                <w:szCs w:val="20"/>
              </w:rPr>
              <w:t>плит</w:t>
            </w:r>
            <w:r>
              <w:rPr>
                <w:color w:val="000000" w:themeColor="text1"/>
                <w:szCs w:val="20"/>
              </w:rPr>
              <w:t xml:space="preserve"> (с указанием объема партии);</w:t>
            </w:r>
          </w:p>
          <w:p w14:paraId="59E64039" w14:textId="75B4FB88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3B2283CC" w14:textId="33D6900E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57B647A8" w14:textId="7B8C0540" w:rsidR="008C037A" w:rsidRPr="00F0699D" w:rsidRDefault="008C037A" w:rsidP="00F0699D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</w:pPr>
            <w:r>
              <w:rPr>
                <w:color w:val="000000" w:themeColor="text1"/>
                <w:szCs w:val="20"/>
              </w:rPr>
              <w:lastRenderedPageBreak/>
              <w:t xml:space="preserve">- Исполнительные геодезические схемы на </w:t>
            </w:r>
            <w:r w:rsidR="006A63DA">
              <w:rPr>
                <w:color w:val="000000" w:themeColor="text1"/>
                <w:szCs w:val="20"/>
              </w:rPr>
              <w:t>кладку стен</w:t>
            </w:r>
            <w:r w:rsidR="0038000B">
              <w:rPr>
                <w:color w:val="000000" w:themeColor="text1"/>
                <w:szCs w:val="20"/>
              </w:rPr>
              <w:t>.</w:t>
            </w:r>
          </w:p>
          <w:p w14:paraId="6ED6DD6A" w14:textId="52F337F3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77777777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8C037A" w:rsidRPr="00EF451D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23" w14:textId="766B1911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0804CE20" w14:textId="64D1A4C1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устройству </w:t>
            </w:r>
            <w:r w:rsidR="006C72F8">
              <w:rPr>
                <w:b/>
                <w:lang w:eastAsia="en-US"/>
              </w:rPr>
              <w:t>перегородок апартаментов выше</w:t>
            </w:r>
            <w:r w:rsidRPr="009F6C7D">
              <w:rPr>
                <w:b/>
                <w:lang w:eastAsia="en-US"/>
              </w:rPr>
              <w:t xml:space="preserve"> отм. 0.00</w:t>
            </w:r>
            <w:r w:rsidR="006A63DA">
              <w:rPr>
                <w:b/>
                <w:lang w:eastAsia="en-US"/>
              </w:rPr>
              <w:t>0</w:t>
            </w:r>
            <w:r w:rsidR="006C72F8">
              <w:rPr>
                <w:b/>
                <w:lang w:eastAsia="en-US"/>
              </w:rPr>
              <w:t xml:space="preserve"> корпусов 1-3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123C1EA1" w14:textId="5D663DCA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  <w:p w14:paraId="2409C6EC" w14:textId="4875F19C" w:rsidR="008C037A" w:rsidRPr="00206140" w:rsidRDefault="008C037A" w:rsidP="008C037A">
            <w:pPr>
              <w:pStyle w:val="11"/>
              <w:tabs>
                <w:tab w:val="left" w:pos="569"/>
              </w:tabs>
              <w:ind w:firstLine="0"/>
            </w:pP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225243AD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>
              <w:t>, Заказчиком</w:t>
            </w:r>
            <w:r w:rsidRPr="004F20C6">
              <w:t xml:space="preserve"> и </w:t>
            </w:r>
            <w:r w:rsidR="00DA58C1">
              <w:t>Генподрядчиком</w:t>
            </w:r>
            <w:r w:rsidRPr="004F20C6">
              <w:t>.</w:t>
            </w:r>
          </w:p>
          <w:p w14:paraId="212CDF08" w14:textId="775B5A28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входит НДС-20%, стоимость доставки до Объекта, погрузки/разгрузки, стоимость упаковки, маркировки, а также оформления необходимой товаросопроводительной документации, все инструменты, оборудование, устройство защитных укрытий, настилов, ограждений, улавливателей от падения  и </w:t>
            </w:r>
            <w:proofErr w:type="spellStart"/>
            <w:r w:rsidRPr="004F20C6">
              <w:t>т.д</w:t>
            </w:r>
            <w:proofErr w:type="spellEnd"/>
            <w:r w:rsidRPr="004F20C6">
              <w:t>, необходимые для выполнения монтажных работ в соответствие с техническими регламентами и инструкциями производителя, а так же в соответствии с Правилами пожарной безопасности и Безопасности труда в строительстве</w:t>
            </w:r>
            <w:r w:rsidR="006C72F8">
              <w:t>.</w:t>
            </w:r>
          </w:p>
          <w:p w14:paraId="08EB3F56" w14:textId="069EAD11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все мероприятия по мобилизации/</w:t>
            </w:r>
            <w:r w:rsidR="004F20C6" w:rsidRPr="004F20C6">
              <w:t>демобилизации</w:t>
            </w:r>
            <w:r w:rsidR="004F20C6">
              <w:t>,</w:t>
            </w:r>
            <w:r w:rsidR="004F20C6" w:rsidRPr="004F20C6">
              <w:t xml:space="preserve"> </w:t>
            </w:r>
            <w:r w:rsidRPr="004F20C6">
              <w:t>в т. ч. доставка необходимого количества мобильных зданий на стройплощадку, разгрузка, монтаж, откачка сточных вод, организация энергоснабжения и освещения непосредственно рабочих мест от точек подключения, предоставляемых Заказчиком</w:t>
            </w:r>
            <w:r w:rsidR="006C72F8">
              <w:t>.</w:t>
            </w:r>
          </w:p>
          <w:p w14:paraId="53411631" w14:textId="6B482601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стоимости учтены затраты на разработку технологической документации (ППР, </w:t>
            </w:r>
            <w:proofErr w:type="spellStart"/>
            <w:r w:rsidRPr="004F20C6">
              <w:t>техкарты</w:t>
            </w:r>
            <w:proofErr w:type="spellEnd"/>
            <w:r w:rsidRPr="004F20C6">
              <w:t xml:space="preserve">), включая согласование в соответствующих организациях, геодезическое </w:t>
            </w:r>
            <w:r w:rsidR="00DD5DCC" w:rsidRPr="004F20C6">
              <w:t>сопровождение и</w:t>
            </w:r>
            <w:r w:rsidRPr="004F20C6">
              <w:t xml:space="preserve"> ведение исполнительной документации, проведение необходимых испытаний.</w:t>
            </w:r>
          </w:p>
          <w:p w14:paraId="3CD32989" w14:textId="5D259E1E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вывоз и утилизацию мусора, ежедневная уборка мест производства работ.</w:t>
            </w:r>
          </w:p>
          <w:p w14:paraId="5B9308D6" w14:textId="0A8C6D06" w:rsidR="008C037A" w:rsidRPr="00DA58C1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A58C1">
              <w:t>В цену входят все расходы на доставку, разгрузку всех материалов, перемещение на объекте, подачу в зону производства работ.</w:t>
            </w:r>
          </w:p>
          <w:p w14:paraId="06B9D705" w14:textId="421DA1D7" w:rsidR="00C25D3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входят все защитные ограждение всех этажей корпусов временными защитными ограждениями на весь период выполнения работ по Договору. </w:t>
            </w:r>
            <w:r w:rsidR="00C25D36" w:rsidRPr="00A378E0">
              <w:t>Чистка поверхности покрытия от пыли и загрязнений отдельно не оплачивается.</w:t>
            </w:r>
          </w:p>
          <w:p w14:paraId="572A2427" w14:textId="2FF6190A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 xml:space="preserve">Доставка и подъём строительных материалов и комплектующих на этажи производится Субподрядчиком самостоятельно. Горизонтальное </w:t>
            </w:r>
            <w:r w:rsidRPr="00A378E0">
              <w:lastRenderedPageBreak/>
              <w:t>перемещение основных материалов по этажу от мест подачи материалов до места складирования и производства работ производится Субподрядчиком также самостоятельно и учитывается в единичных расценках предложения.</w:t>
            </w:r>
          </w:p>
          <w:p w14:paraId="638FB9AA" w14:textId="4519AF2B" w:rsidR="008C037A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</w:p>
          <w:p w14:paraId="5652E218" w14:textId="76CFE909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Обязательно присутствие русскоговорящего прораба со стороны Субподрядчика на стройплощадке в течение всего времени производства работ.</w:t>
            </w:r>
          </w:p>
          <w:p w14:paraId="2F80AF40" w14:textId="7D02A421" w:rsidR="00A378E0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>При производстве работ Субподрядчик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77F34FAE" w:rsidR="00C25D36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>Уборка и вывоз бытового и строительного мусора (остатков раствора</w:t>
            </w:r>
            <w:r>
              <w:t xml:space="preserve">, </w:t>
            </w:r>
            <w:r w:rsidR="006C72F8">
              <w:t>плит, уголков и</w:t>
            </w:r>
            <w:r w:rsidRPr="00A378E0">
              <w:t xml:space="preserve"> пр.) Субподрядчик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283B1FCC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Генподрядчик оставляет за собой право в случае некачественной уборки мусора Субподрядчиком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Субподрядчик.</w:t>
            </w:r>
          </w:p>
          <w:p w14:paraId="19DE1587" w14:textId="7EF2F600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4C44B900" w:rsidR="00E6392A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proofErr w:type="gramStart"/>
            <w:r w:rsidR="006C72F8" w:rsidRPr="00E6392A">
              <w:t>объ</w:t>
            </w:r>
            <w:r w:rsidR="006C72F8">
              <w:t>ё</w:t>
            </w:r>
            <w:r w:rsidR="006C72F8" w:rsidRPr="00E6392A">
              <w:t>мам</w:t>
            </w:r>
            <w:proofErr w:type="gramEnd"/>
            <w:r w:rsidR="006C72F8" w:rsidRPr="00E6392A">
              <w:t xml:space="preserve"> </w:t>
            </w:r>
            <w:r w:rsidRPr="00E6392A">
              <w:t>в рабочей документации.</w:t>
            </w:r>
            <w:r w:rsidR="00E6392A">
              <w:t xml:space="preserve"> </w:t>
            </w:r>
            <w:r w:rsidR="00E6392A" w:rsidRPr="00E6392A">
              <w:t>В ходе работ Субподрядчик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Субподрядчика.</w:t>
            </w:r>
            <w:r w:rsidR="00E6392A">
              <w:t xml:space="preserve"> </w:t>
            </w:r>
          </w:p>
          <w:p w14:paraId="3E9971BE" w14:textId="263DAC51" w:rsidR="00E6392A" w:rsidRDefault="00E6392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  <w:p w14:paraId="5D5A710F" w14:textId="56F86623" w:rsidR="00C25D36" w:rsidRPr="004F20C6" w:rsidRDefault="00E6392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Субподрядчик несёт ответственность за правильность и качество приготовления растворных и бетонных смесей, в том числе и в зимний период времени, и выполняет лабораторный контроль качества выполняемых работ.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77126818" w:rsidR="008C037A" w:rsidRPr="00206140" w:rsidRDefault="00F0699D" w:rsidP="00843010">
            <w:pPr>
              <w:shd w:val="clear" w:color="auto" w:fill="FFFFFF"/>
              <w:spacing w:line="276" w:lineRule="auto"/>
              <w:ind w:right="-7"/>
              <w:jc w:val="both"/>
            </w:pPr>
            <w:r>
              <w:t xml:space="preserve">30 </w:t>
            </w:r>
            <w:r w:rsidR="00A378E0">
              <w:t>календарных дней</w:t>
            </w:r>
            <w:r>
              <w:t xml:space="preserve"> на </w:t>
            </w:r>
            <w:r w:rsidR="00843010">
              <w:t>каждую секцию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497E82A7" w14:textId="77777777" w:rsidR="006C72F8" w:rsidRPr="00206140" w:rsidRDefault="006C72F8" w:rsidP="006C72F8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Подрядчик полностью и безоговорочно подтверждает, что</w:t>
      </w:r>
      <w:r w:rsidRPr="00206140">
        <w:rPr>
          <w:b/>
        </w:rPr>
        <w:t>:</w:t>
      </w:r>
    </w:p>
    <w:p w14:paraId="1567236D" w14:textId="1B0949F0" w:rsidR="006C72F8" w:rsidRPr="00206140" w:rsidRDefault="006C72F8" w:rsidP="006C72F8">
      <w:pPr>
        <w:tabs>
          <w:tab w:val="left" w:pos="851"/>
          <w:tab w:val="left" w:pos="1134"/>
        </w:tabs>
        <w:ind w:firstLine="426"/>
        <w:jc w:val="both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>
        <w:rPr>
          <w:b/>
        </w:rPr>
        <w:t xml:space="preserve">устройство перегородок апартаментов </w:t>
      </w:r>
      <w:r w:rsidRPr="00206140">
        <w:rPr>
          <w:b/>
        </w:rPr>
        <w:t xml:space="preserve">и в </w:t>
      </w:r>
      <w:r>
        <w:rPr>
          <w:b/>
        </w:rPr>
        <w:t>ведомости объемов работ (ВОР)</w:t>
      </w:r>
      <w:r w:rsidRPr="00206140">
        <w:rPr>
          <w:b/>
        </w:rPr>
        <w:t xml:space="preserve"> учтены изделия, материалы и все вышеперечисленные виды работ, необходимые и достаточные </w:t>
      </w:r>
      <w:r w:rsidRPr="00206140">
        <w:rPr>
          <w:b/>
        </w:rPr>
        <w:lastRenderedPageBreak/>
        <w:t>для выполнения производства работ</w:t>
      </w:r>
      <w:r>
        <w:rPr>
          <w:b/>
        </w:rPr>
        <w:t xml:space="preserve">, </w:t>
      </w:r>
      <w:r w:rsidRPr="00206140">
        <w:rPr>
          <w:b/>
        </w:rPr>
        <w:t>в полном объеме без заключения дополнительных соглашений.</w:t>
      </w:r>
      <w:r w:rsidRPr="00206140">
        <w:t xml:space="preserve"> </w:t>
      </w:r>
    </w:p>
    <w:p w14:paraId="30C6CF83" w14:textId="77777777" w:rsidR="006C72F8" w:rsidRPr="00206140" w:rsidRDefault="006C72F8" w:rsidP="006C72F8">
      <w:pPr>
        <w:tabs>
          <w:tab w:val="left" w:pos="851"/>
          <w:tab w:val="left" w:pos="1134"/>
        </w:tabs>
        <w:ind w:firstLine="426"/>
        <w:jc w:val="both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56138FEF" w14:textId="1B43C3B4" w:rsidR="006C72F8" w:rsidRDefault="006C72F8" w:rsidP="006C72F8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 w:rsidRPr="00206140">
        <w:rPr>
          <w:b/>
        </w:rPr>
        <w:t xml:space="preserve"> - ознакомился с территорией</w:t>
      </w:r>
      <w:r>
        <w:rPr>
          <w:b/>
        </w:rPr>
        <w:t xml:space="preserve"> </w:t>
      </w:r>
      <w:r w:rsidR="006A6808">
        <w:rPr>
          <w:b/>
        </w:rPr>
        <w:t>(помещениями</w:t>
      </w:r>
      <w:r w:rsidRPr="00DD43B0">
        <w:rPr>
          <w:b/>
        </w:rPr>
        <w:t xml:space="preserve">) и </w:t>
      </w:r>
      <w:r w:rsidRPr="00206140">
        <w:rPr>
          <w:b/>
        </w:rPr>
        <w:t xml:space="preserve">фактическими условиями производства работ и согласен с договором </w:t>
      </w:r>
      <w:r>
        <w:rPr>
          <w:b/>
        </w:rPr>
        <w:t>Генподрядчика</w:t>
      </w:r>
      <w:r w:rsidRPr="00206140">
        <w:rPr>
          <w:b/>
        </w:rPr>
        <w:t>.</w:t>
      </w:r>
    </w:p>
    <w:p w14:paraId="47859845" w14:textId="77777777" w:rsidR="006C72F8" w:rsidRPr="00206140" w:rsidRDefault="006C72F8" w:rsidP="006C72F8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6C72F8" w14:paraId="132C113A" w14:textId="77777777" w:rsidTr="00263056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F5DBD" w14:textId="77777777" w:rsidR="006C72F8" w:rsidRDefault="006C72F8" w:rsidP="00263056">
            <w:pPr>
              <w:rPr>
                <w:b/>
                <w:bCs/>
              </w:rPr>
            </w:pPr>
            <w:r>
              <w:rPr>
                <w:b/>
                <w:bCs/>
              </w:rPr>
              <w:t>Подрядчик</w:t>
            </w:r>
          </w:p>
        </w:tc>
      </w:tr>
      <w:tr w:rsidR="006C72F8" w14:paraId="63DFB9CA" w14:textId="77777777" w:rsidTr="00263056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D9166" w14:textId="77777777" w:rsidR="006C72F8" w:rsidRDefault="006C72F8" w:rsidP="00263056">
            <w:r>
              <w:t xml:space="preserve">___________________ </w:t>
            </w:r>
            <w:r>
              <w:br/>
              <w:t>М.П.</w:t>
            </w:r>
          </w:p>
        </w:tc>
      </w:tr>
    </w:tbl>
    <w:p w14:paraId="18E75C04" w14:textId="77777777" w:rsidR="006C72F8" w:rsidRPr="00882A92" w:rsidRDefault="006C72F8" w:rsidP="006C72F8">
      <w:pPr>
        <w:rPr>
          <w:color w:val="FF0000"/>
          <w:sz w:val="22"/>
          <w:szCs w:val="22"/>
        </w:rPr>
      </w:pPr>
    </w:p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5B"/>
    <w:multiLevelType w:val="multilevel"/>
    <w:tmpl w:val="79AEA5BC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bullet"/>
      <w:lvlText w:val=""/>
      <w:lvlJc w:val="left"/>
      <w:pPr>
        <w:ind w:left="3287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106F3"/>
    <w:multiLevelType w:val="multilevel"/>
    <w:tmpl w:val="7FE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27173"/>
    <w:multiLevelType w:val="multilevel"/>
    <w:tmpl w:val="0E483E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hint="default"/>
      </w:rPr>
    </w:lvl>
  </w:abstractNum>
  <w:abstractNum w:abstractNumId="4" w15:restartNumberingAfterBreak="0">
    <w:nsid w:val="0B1D7C12"/>
    <w:multiLevelType w:val="multilevel"/>
    <w:tmpl w:val="189EA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54388"/>
    <w:multiLevelType w:val="multilevel"/>
    <w:tmpl w:val="E9DE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D664B"/>
    <w:multiLevelType w:val="multilevel"/>
    <w:tmpl w:val="E30A7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0EF6163E"/>
    <w:multiLevelType w:val="multilevel"/>
    <w:tmpl w:val="D718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6266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41FAE"/>
    <w:multiLevelType w:val="multilevel"/>
    <w:tmpl w:val="3CE2F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0" w15:restartNumberingAfterBreak="0">
    <w:nsid w:val="10FF2F3B"/>
    <w:multiLevelType w:val="hybridMultilevel"/>
    <w:tmpl w:val="789C6B08"/>
    <w:lvl w:ilvl="0" w:tplc="8C4CB6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1C14BB8"/>
    <w:multiLevelType w:val="hybridMultilevel"/>
    <w:tmpl w:val="1DE2EFFE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B666C6"/>
    <w:multiLevelType w:val="multilevel"/>
    <w:tmpl w:val="1D827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2B4239"/>
    <w:multiLevelType w:val="multilevel"/>
    <w:tmpl w:val="8E4A1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A5B3068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6" w15:restartNumberingAfterBreak="0">
    <w:nsid w:val="2ABD4165"/>
    <w:multiLevelType w:val="multilevel"/>
    <w:tmpl w:val="F482B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E41B93"/>
    <w:multiLevelType w:val="multilevel"/>
    <w:tmpl w:val="FA6C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93067"/>
    <w:multiLevelType w:val="multilevel"/>
    <w:tmpl w:val="2C9E2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C84D16"/>
    <w:multiLevelType w:val="multilevel"/>
    <w:tmpl w:val="189C9C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672A3E"/>
    <w:multiLevelType w:val="hybridMultilevel"/>
    <w:tmpl w:val="9BD010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3E63C33"/>
    <w:multiLevelType w:val="multilevel"/>
    <w:tmpl w:val="8752D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22" w15:restartNumberingAfterBreak="0">
    <w:nsid w:val="357054F6"/>
    <w:multiLevelType w:val="multilevel"/>
    <w:tmpl w:val="70EA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23982"/>
    <w:multiLevelType w:val="multilevel"/>
    <w:tmpl w:val="CC52DD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35D77D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2A6CAD"/>
    <w:multiLevelType w:val="hybridMultilevel"/>
    <w:tmpl w:val="5D4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B0E"/>
    <w:multiLevelType w:val="multilevel"/>
    <w:tmpl w:val="BF44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12595"/>
    <w:multiLevelType w:val="multilevel"/>
    <w:tmpl w:val="4DC4B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8777A"/>
    <w:multiLevelType w:val="hybridMultilevel"/>
    <w:tmpl w:val="C53048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01BBF"/>
    <w:multiLevelType w:val="hybridMultilevel"/>
    <w:tmpl w:val="12800642"/>
    <w:lvl w:ilvl="0" w:tplc="10F85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2" w15:restartNumberingAfterBreak="0">
    <w:nsid w:val="50410862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3" w15:restartNumberingAfterBreak="0">
    <w:nsid w:val="53274B91"/>
    <w:multiLevelType w:val="multilevel"/>
    <w:tmpl w:val="C1EE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B73759"/>
    <w:multiLevelType w:val="multilevel"/>
    <w:tmpl w:val="087A6A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CE46FD"/>
    <w:multiLevelType w:val="hybridMultilevel"/>
    <w:tmpl w:val="37169CD0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6" w15:restartNumberingAfterBreak="0">
    <w:nsid w:val="5C41705E"/>
    <w:multiLevelType w:val="multilevel"/>
    <w:tmpl w:val="943407A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color w:val="000000" w:themeColor="text1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EF51ED0"/>
    <w:multiLevelType w:val="multilevel"/>
    <w:tmpl w:val="A24CA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FD586E"/>
    <w:multiLevelType w:val="multilevel"/>
    <w:tmpl w:val="D6DA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9" w15:restartNumberingAfterBreak="0">
    <w:nsid w:val="60904A20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62B3E64"/>
    <w:multiLevelType w:val="hybridMultilevel"/>
    <w:tmpl w:val="97B445A0"/>
    <w:lvl w:ilvl="0" w:tplc="9FC275B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1" w15:restartNumberingAfterBreak="0">
    <w:nsid w:val="66E6621A"/>
    <w:multiLevelType w:val="multilevel"/>
    <w:tmpl w:val="7DC8EB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0370BD"/>
    <w:multiLevelType w:val="multilevel"/>
    <w:tmpl w:val="AB102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8007C2"/>
    <w:multiLevelType w:val="singleLevel"/>
    <w:tmpl w:val="467A4356"/>
    <w:lvl w:ilvl="0">
      <w:start w:val="2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710A4EF0"/>
    <w:multiLevelType w:val="hybridMultilevel"/>
    <w:tmpl w:val="6666DA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3F82"/>
    <w:multiLevelType w:val="hybridMultilevel"/>
    <w:tmpl w:val="1E866AA2"/>
    <w:lvl w:ilvl="0" w:tplc="48EC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3FBD"/>
    <w:multiLevelType w:val="multilevel"/>
    <w:tmpl w:val="09CC1B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D57FEE"/>
    <w:multiLevelType w:val="multilevel"/>
    <w:tmpl w:val="087A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14733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B823FE"/>
    <w:multiLevelType w:val="hybridMultilevel"/>
    <w:tmpl w:val="ACD28A24"/>
    <w:lvl w:ilvl="0" w:tplc="0F4C3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6"/>
  </w:num>
  <w:num w:numId="5">
    <w:abstractNumId w:val="11"/>
  </w:num>
  <w:num w:numId="6">
    <w:abstractNumId w:val="23"/>
  </w:num>
  <w:num w:numId="7">
    <w:abstractNumId w:val="40"/>
  </w:num>
  <w:num w:numId="8">
    <w:abstractNumId w:val="35"/>
  </w:num>
  <w:num w:numId="9">
    <w:abstractNumId w:val="18"/>
  </w:num>
  <w:num w:numId="10">
    <w:abstractNumId w:val="46"/>
  </w:num>
  <w:num w:numId="11">
    <w:abstractNumId w:val="28"/>
  </w:num>
  <w:num w:numId="12">
    <w:abstractNumId w:val="43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30"/>
  </w:num>
  <w:num w:numId="19">
    <w:abstractNumId w:val="48"/>
  </w:num>
  <w:num w:numId="20">
    <w:abstractNumId w:val="41"/>
  </w:num>
  <w:num w:numId="21">
    <w:abstractNumId w:val="49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33"/>
  </w:num>
  <w:num w:numId="27">
    <w:abstractNumId w:val="47"/>
  </w:num>
  <w:num w:numId="28">
    <w:abstractNumId w:val="17"/>
  </w:num>
  <w:num w:numId="29">
    <w:abstractNumId w:val="34"/>
  </w:num>
  <w:num w:numId="30">
    <w:abstractNumId w:val="42"/>
  </w:num>
  <w:num w:numId="31">
    <w:abstractNumId w:val="5"/>
  </w:num>
  <w:num w:numId="32">
    <w:abstractNumId w:val="2"/>
  </w:num>
  <w:num w:numId="33">
    <w:abstractNumId w:val="13"/>
  </w:num>
  <w:num w:numId="34">
    <w:abstractNumId w:val="22"/>
  </w:num>
  <w:num w:numId="35">
    <w:abstractNumId w:val="37"/>
  </w:num>
  <w:num w:numId="36">
    <w:abstractNumId w:val="32"/>
  </w:num>
  <w:num w:numId="37">
    <w:abstractNumId w:val="38"/>
  </w:num>
  <w:num w:numId="38">
    <w:abstractNumId w:val="21"/>
  </w:num>
  <w:num w:numId="39">
    <w:abstractNumId w:val="14"/>
  </w:num>
  <w:num w:numId="40">
    <w:abstractNumId w:val="1"/>
  </w:num>
  <w:num w:numId="41">
    <w:abstractNumId w:val="29"/>
  </w:num>
  <w:num w:numId="42">
    <w:abstractNumId w:val="31"/>
  </w:num>
  <w:num w:numId="43">
    <w:abstractNumId w:val="16"/>
  </w:num>
  <w:num w:numId="44">
    <w:abstractNumId w:val="45"/>
  </w:num>
  <w:num w:numId="45">
    <w:abstractNumId w:val="7"/>
  </w:num>
  <w:num w:numId="46">
    <w:abstractNumId w:val="15"/>
  </w:num>
  <w:num w:numId="47">
    <w:abstractNumId w:val="26"/>
  </w:num>
  <w:num w:numId="48">
    <w:abstractNumId w:val="44"/>
  </w:num>
  <w:num w:numId="49">
    <w:abstractNumId w:val="24"/>
  </w:num>
  <w:num w:numId="50">
    <w:abstractNumId w:val="51"/>
  </w:num>
  <w:num w:numId="51">
    <w:abstractNumId w:val="39"/>
  </w:num>
  <w:num w:numId="52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1DD8"/>
    <w:rsid w:val="000A25D9"/>
    <w:rsid w:val="000A29C2"/>
    <w:rsid w:val="000A328D"/>
    <w:rsid w:val="000A79CB"/>
    <w:rsid w:val="000B426C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097C"/>
    <w:rsid w:val="00136B9A"/>
    <w:rsid w:val="001405D9"/>
    <w:rsid w:val="001420AB"/>
    <w:rsid w:val="001422A9"/>
    <w:rsid w:val="00143830"/>
    <w:rsid w:val="001474F5"/>
    <w:rsid w:val="00147780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60255"/>
    <w:rsid w:val="003611E3"/>
    <w:rsid w:val="003627A7"/>
    <w:rsid w:val="00367948"/>
    <w:rsid w:val="00370695"/>
    <w:rsid w:val="00375958"/>
    <w:rsid w:val="00377B20"/>
    <w:rsid w:val="00377FD4"/>
    <w:rsid w:val="0038000B"/>
    <w:rsid w:val="00380082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824"/>
    <w:rsid w:val="003C61E0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71C4"/>
    <w:rsid w:val="004E3690"/>
    <w:rsid w:val="004E4394"/>
    <w:rsid w:val="004E7215"/>
    <w:rsid w:val="004E76A1"/>
    <w:rsid w:val="004F09A6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01C4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82CCE"/>
    <w:rsid w:val="00583272"/>
    <w:rsid w:val="00585794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7F28"/>
    <w:rsid w:val="00640F74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2B5C"/>
    <w:rsid w:val="00673F34"/>
    <w:rsid w:val="00675B9A"/>
    <w:rsid w:val="00680619"/>
    <w:rsid w:val="0068394E"/>
    <w:rsid w:val="006844D9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A6808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C72F8"/>
    <w:rsid w:val="006D3489"/>
    <w:rsid w:val="006D409E"/>
    <w:rsid w:val="006E08C6"/>
    <w:rsid w:val="006E0F98"/>
    <w:rsid w:val="006E1C76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46E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76B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9D5"/>
    <w:rsid w:val="00842F68"/>
    <w:rsid w:val="00843010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6CA4"/>
    <w:rsid w:val="00950384"/>
    <w:rsid w:val="00962184"/>
    <w:rsid w:val="00963F6B"/>
    <w:rsid w:val="0096410E"/>
    <w:rsid w:val="00964BC2"/>
    <w:rsid w:val="00974728"/>
    <w:rsid w:val="009774D7"/>
    <w:rsid w:val="00981111"/>
    <w:rsid w:val="0098211D"/>
    <w:rsid w:val="00985461"/>
    <w:rsid w:val="009929C9"/>
    <w:rsid w:val="00993208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378E0"/>
    <w:rsid w:val="00A4007F"/>
    <w:rsid w:val="00A409F9"/>
    <w:rsid w:val="00A40E2F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6464"/>
    <w:rsid w:val="00AE05BB"/>
    <w:rsid w:val="00AE6E31"/>
    <w:rsid w:val="00AF2A22"/>
    <w:rsid w:val="00AF2C95"/>
    <w:rsid w:val="00AF4837"/>
    <w:rsid w:val="00AF5C08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21E5"/>
    <w:rsid w:val="00B724A6"/>
    <w:rsid w:val="00B77659"/>
    <w:rsid w:val="00B86E13"/>
    <w:rsid w:val="00B87BAE"/>
    <w:rsid w:val="00B90714"/>
    <w:rsid w:val="00B952F1"/>
    <w:rsid w:val="00B95484"/>
    <w:rsid w:val="00B95F81"/>
    <w:rsid w:val="00BA5A20"/>
    <w:rsid w:val="00BB031F"/>
    <w:rsid w:val="00BB3977"/>
    <w:rsid w:val="00BC1B80"/>
    <w:rsid w:val="00BC1EFE"/>
    <w:rsid w:val="00BD3B20"/>
    <w:rsid w:val="00BD3EA9"/>
    <w:rsid w:val="00BD3FE2"/>
    <w:rsid w:val="00BD76F6"/>
    <w:rsid w:val="00BE227F"/>
    <w:rsid w:val="00BE32E6"/>
    <w:rsid w:val="00BF0A25"/>
    <w:rsid w:val="00BF2C87"/>
    <w:rsid w:val="00BF6542"/>
    <w:rsid w:val="00BF6ED9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210F5"/>
    <w:rsid w:val="00C22DE2"/>
    <w:rsid w:val="00C2349E"/>
    <w:rsid w:val="00C239C2"/>
    <w:rsid w:val="00C25D36"/>
    <w:rsid w:val="00C26838"/>
    <w:rsid w:val="00C315DF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70013"/>
    <w:rsid w:val="00C7089C"/>
    <w:rsid w:val="00C71548"/>
    <w:rsid w:val="00C71551"/>
    <w:rsid w:val="00C7379D"/>
    <w:rsid w:val="00C73DE3"/>
    <w:rsid w:val="00C812C2"/>
    <w:rsid w:val="00C82FD0"/>
    <w:rsid w:val="00C8447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3EF6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BE"/>
    <w:rsid w:val="00D47AB0"/>
    <w:rsid w:val="00D5200B"/>
    <w:rsid w:val="00D530FA"/>
    <w:rsid w:val="00D557BA"/>
    <w:rsid w:val="00D564F7"/>
    <w:rsid w:val="00D57152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27FA"/>
    <w:rsid w:val="00DC41C1"/>
    <w:rsid w:val="00DD5DCC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804"/>
    <w:rsid w:val="00E37B9B"/>
    <w:rsid w:val="00E40B96"/>
    <w:rsid w:val="00E425FF"/>
    <w:rsid w:val="00E44C84"/>
    <w:rsid w:val="00E4542D"/>
    <w:rsid w:val="00E45FEC"/>
    <w:rsid w:val="00E46C77"/>
    <w:rsid w:val="00E47604"/>
    <w:rsid w:val="00E50AB1"/>
    <w:rsid w:val="00E566F1"/>
    <w:rsid w:val="00E62684"/>
    <w:rsid w:val="00E6392A"/>
    <w:rsid w:val="00E6495F"/>
    <w:rsid w:val="00E658EA"/>
    <w:rsid w:val="00E74F33"/>
    <w:rsid w:val="00E75968"/>
    <w:rsid w:val="00E77E53"/>
    <w:rsid w:val="00E82FFC"/>
    <w:rsid w:val="00E84319"/>
    <w:rsid w:val="00E92280"/>
    <w:rsid w:val="00E92C8A"/>
    <w:rsid w:val="00E9456F"/>
    <w:rsid w:val="00E95096"/>
    <w:rsid w:val="00EA2445"/>
    <w:rsid w:val="00EA2F59"/>
    <w:rsid w:val="00EA3EA5"/>
    <w:rsid w:val="00EB4C10"/>
    <w:rsid w:val="00EB7AFC"/>
    <w:rsid w:val="00EC6AAE"/>
    <w:rsid w:val="00EC7E15"/>
    <w:rsid w:val="00EC7EEB"/>
    <w:rsid w:val="00ED3AA8"/>
    <w:rsid w:val="00ED44BE"/>
    <w:rsid w:val="00ED4544"/>
    <w:rsid w:val="00EE2FA9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699D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A96"/>
    <w:rsid w:val="00F4165F"/>
    <w:rsid w:val="00F43029"/>
    <w:rsid w:val="00F442C0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A13BE"/>
    <w:rsid w:val="00FA2E69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6">
    <w:name w:val="footer"/>
    <w:basedOn w:val="a"/>
    <w:link w:val="af7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7">
    <w:name w:val="Нижний колонтитул Знак"/>
    <w:basedOn w:val="a0"/>
    <w:link w:val="af6"/>
    <w:rsid w:val="00A378E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EDBE-DBBE-4ED9-9F8A-DFD69073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3589</Words>
  <Characters>20460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Дудкина Дарья Викторовна</cp:lastModifiedBy>
  <cp:revision>2</cp:revision>
  <cp:lastPrinted>2023-07-04T08:54:00Z</cp:lastPrinted>
  <dcterms:created xsi:type="dcterms:W3CDTF">2025-04-08T06:25:00Z</dcterms:created>
  <dcterms:modified xsi:type="dcterms:W3CDTF">2025-04-08T06:25:00Z</dcterms:modified>
</cp:coreProperties>
</file>